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"О техническом регулировании"</w:t>
      </w:r>
    </w:p>
    <w:p>
      <w:pPr>
        <w:pStyle w:val="2"/>
        <w:widowControl/>
        <w:pBdr/>
        <w:spacing w:before="0" w:after="0"/>
        <w:ind w:left="0" w:right="0" w:hanging="0"/>
        <w:jc w:val="center"/>
        <w:rPr/>
      </w:pPr>
      <w:r>
        <w:rPr/>
      </w:r>
    </w:p>
    <w:p>
      <w:pPr>
        <w:pStyle w:val="2"/>
        <w:widowControl/>
        <w:pBdr/>
        <w:spacing w:before="0" w:after="0"/>
        <w:ind w:left="0" w:right="0" w:hanging="0"/>
        <w:jc w:val="center"/>
        <w:rPr/>
      </w:pPr>
      <w:r>
        <w:rPr/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ФЕДЕРАЛЬНЫЙ ЗАКОН</w:t>
      </w:r>
    </w:p>
    <w:p>
      <w:pPr>
        <w:pStyle w:val="2"/>
        <w:widowControl/>
        <w:pBdr/>
        <w:spacing w:before="0" w:after="0"/>
        <w:ind w:left="0" w:right="0" w:hanging="0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18 июля 2009                                                 </w:t>
      </w:r>
    </w:p>
    <w:p>
      <w:pPr>
        <w:pStyle w:val="2"/>
        <w:widowControl/>
        <w:pBdr/>
        <w:spacing w:before="0" w:after="0"/>
        <w:ind w:left="0" w:right="0" w:hanging="0"/>
        <w:rPr>
          <w:caps w:val="false"/>
          <w:smallCaps w:val="false"/>
          <w:strike w:val="false"/>
          <w:dstrike w:val="false"/>
          <w:color w:val="1B72CB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1B72CB"/>
          <w:spacing w:val="0"/>
          <w:u w:val="none"/>
          <w:effect w:val="none"/>
        </w:rPr>
        <w:t xml:space="preserve">№ </w:t>
      </w: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189-ФЗ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О ВНЕСЕНИИ ИЗМЕНЕНИЙ В ФЕДЕРАЛЬНЫЙ ЗАКОН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"О ТЕХНИЧЕСКОМ РЕГУЛИРОВАНИИ"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   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Принят Государственной Думой 3 июля 2009 года</w:t>
      </w:r>
    </w:p>
    <w:p>
      <w:pPr>
        <w:pStyle w:val="2"/>
        <w:widowControl/>
        <w:pBdr/>
        <w:spacing w:before="0" w:after="0"/>
        <w:ind w:left="0" w:right="0" w:hanging="0"/>
        <w:jc w:val="center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Одобрен Советом Федерации 7 июля 2009 года</w:t>
      </w:r>
    </w:p>
    <w:p>
      <w:pPr>
        <w:pStyle w:val="Style18"/>
        <w:widowControl/>
        <w:spacing w:before="0" w:after="283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Внести в Федеральный закон от 27  декабря  2002  года    N 184-ФЗ "О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техническом  регулировании"   (Собрание   законодательства     Российской Федерации, 2002, № 52,  ст. 5140;  2007,  № 19,  ст. 2293;  2008,   № 30, ст. 3616) следующие изменения: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1) абзац двадцать восьмой  статьи  2  дополнить  словами  "в   целях соблюдения требований технических регламентов";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2) пункт 1 статьи 6 дополнить абзацем следующего содержания: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"обеспечения энергетической эффективности.";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3) в статье 7: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а)  абзац  первый  пункта  3  дополнить  предложением     следующего содержания:  "Технический   регламент   должен   содержать     требования энергетической эффективности.";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б) абзац первый пункта 8 изложить в следующей редакции: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"8. Международные стандарты  должны  использоваться  полностью   или частично  в  качестве  основы  для  разработки   проектов     технических регламентов, за исключением случаев, если международные стандарты или их разделы  были  бы  неэффективными  или  не  подходящими  для   достижения установленных статьей 6 настоящего Федерального закона целей, в том числе вследствие  климатических  и  географических  особенностей     Российской Федерации, технических и (или) технологических особенностей.";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в)  абзац  первый  пункта  11  дополнить  предложением    следующего содержания:  "Проекты  указанных  правил  и   методов     разрабатываются федеральными  органами  исполнительной  власти  в  соответствии  с   их компетенцией с использованием национальных стандартов, опубликовываются в печатном  издании  федерального   органа   исполнительной       власти по техническому регулированию и размещаются в информационной системе общего пользования в электронно-цифровой форме не позднее чем за тридцать   дней до дня утверждения указанных правил и методов.";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4) в первом предложении абзаца четвертого пункта 8 статьи  9   слова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"не позднее чем за шестьдесят дней до  рассмотрения  указанного   проекта Государственной Думой во втором чтении" исключить;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5) в пункте 1 статьи 14: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а) абзац восьмой изложить в следующей редакции: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"организует официальное опубликование и распространение национальных стандартов,  общероссийских  классификаторов      технико-экономической и социальной информации, правил  стандартизации,  норм  и    рекомендаций в области стандартизации в печатном издании  и  в  информационной   системе общего пользования в электронно-цифровой форме;";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б) дополнить абзацами следующего содержания: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"обеспечивает в информационной системе общего пользования доступ на безвозмездной основе к национальным стандартам, сводам правил, включенным в перечни национальных стандартов и (или) сводов  правил,  в   результате применения которых  на  добровольной  основе  обеспечивается   соблюдение требований принятых технических  регламентов,  а  также  к   национальным стандартам, включенным в  перечни  национальных  стандартов,   содержащих правила и методы исследований  (испытаний)  и  измерений,  в  том   числе правила отбора образцов, необходимые для применения и исполнения принятых технических регламентов и осуществления оценки соответствия;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предоставляет информацию и документы  в  области    стандартизации в соответствии с  обязательствами  Российской  Федерации,    вытекающими из международных  договоров  Российской  Федерации  в  сфере    технического регулирования.";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6) пункт 3 статьи 23 изложить в следующей редакции: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"3. Декларация о соответствии и сертификат соответствия имеют равную юридическую силу и действуют на всей территории Российской  Федерации   в отношении каждой единицы продукции, выпускаемой в обращение на территории Российской Федерации во время действия  декларации  о  соответствии   или сертификата соответствия, в течение  срока  годности  или  срока   службы продукции, установленных в соответствии с  законодательством   Российской Федерации.";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7) абзац первый пункта 2 статьи 27 дополнить предложением следующего содержания: "Особенности маркировки продукции знаком обращения на   рынке устанавливаются техническими регламентами.";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8) абзац второй пункта 1 статьи 29 изложить в следующей редакции: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    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"Для целей таможенного оформления продукции Правительство Российской Федерации утверждает не позднее чем за тридцать дней до дня вступления в силу технического регламента на его основании списки продукции, на которую распространяется действие абзаца первого  настоящего  пункта,  с указанием кодов Товарной номенклатуры внешнеэкономической деятельности. Федеральные  органы  исполнительной власти, осуществляющие функции в установленной  сфере  деятельности,  совместно с федеральным органом исполнительной власти, уполномоченным  в  области  таможенного дела, и федеральным органом исполнительной  власти,  осуществляющим  функции  по оказанию государственных услуг, управлению государственным имуществом   в сфере технического регулирования и метрологии,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   технического регламента.".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Президент Российской Федерации                                                                          Д. Медведев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Москва, Кремль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18 июля 2009 года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№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189-ФЗ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09 года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 xml:space="preserve">№ </w:t>
      </w:r>
      <w:r>
        <w:rPr>
          <w:rFonts w:ascii="Verdana" w:hAnsi="Verdana"/>
          <w:b w:val="false"/>
          <w:i w:val="false"/>
          <w:caps w:val="false"/>
          <w:smallCaps w:val="false"/>
          <w:color w:val="404040"/>
          <w:spacing w:val="0"/>
          <w:sz w:val="21"/>
        </w:rPr>
        <w:t>189-ФЗ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FuturaLightC">
    <w:charset w:val="cc"/>
    <w:family w:val="auto"/>
    <w:pitch w:val="default"/>
  </w:font>
  <w:font w:name="Verdan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4</Pages>
  <Words>633</Words>
  <Characters>4479</Characters>
  <CharactersWithSpaces>5544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2016-08-30T15:42:41Z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